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</w:pPr>
      <w:r>
        <w:rPr>
          <w:noProof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7DE5CDE" w14:textId="77777777" w:rsidR="00E9331F" w:rsidRDefault="00E9331F" w:rsidP="00E9331F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0" w:name="_Hlk218674728"/>
      <w:bookmarkStart w:id="1" w:name="OLE_LINK3"/>
      <w:bookmarkStart w:id="2" w:name="OLE_LINK4"/>
      <w:r>
        <w:rPr>
          <w:rFonts w:cs="Poppins"/>
          <w:i/>
          <w:color w:val="595959" w:themeColor="text1" w:themeTint="A6"/>
          <w:sz w:val="28"/>
          <w:szCs w:val="24"/>
        </w:rPr>
        <w:t>Cyfrowa Transformacja dla Dostępnej A</w:t>
      </w:r>
      <w:r>
        <w:rPr>
          <w:rFonts w:cs="Poppins"/>
          <w:i/>
          <w:iCs/>
          <w:color w:val="595959" w:themeColor="text1" w:themeTint="A6"/>
          <w:sz w:val="28"/>
          <w:szCs w:val="24"/>
        </w:rPr>
        <w:t>groturystyki</w:t>
      </w:r>
      <w:r>
        <w:rPr>
          <w:rFonts w:cs="Poppins"/>
          <w:color w:val="595959" w:themeColor="text1" w:themeTint="A6"/>
          <w:sz w:val="28"/>
          <w:szCs w:val="24"/>
        </w:rPr>
        <w:t xml:space="preserve"> </w:t>
      </w:r>
    </w:p>
    <w:p w14:paraId="789D61A6" w14:textId="77777777" w:rsidR="00E9331F" w:rsidRDefault="00E9331F" w:rsidP="00E9331F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3" w:name="_Hlk218674738"/>
      <w:bookmarkEnd w:id="0"/>
      <w:r>
        <w:rPr>
          <w:color w:val="595959" w:themeColor="text1" w:themeTint="A6"/>
          <w:sz w:val="28"/>
          <w:szCs w:val="24"/>
        </w:rPr>
        <w:t>Nr projektu</w:t>
      </w:r>
      <w:bookmarkEnd w:id="3"/>
      <w:r>
        <w:rPr>
          <w:color w:val="595959" w:themeColor="text1" w:themeTint="A6"/>
          <w:sz w:val="28"/>
          <w:szCs w:val="24"/>
        </w:rPr>
        <w:t xml:space="preserve"> 101167990</w:t>
      </w:r>
    </w:p>
    <w:p w14:paraId="48B81590" w14:textId="77777777" w:rsidR="00E9331F" w:rsidRDefault="00E9331F" w:rsidP="00E9331F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592023AE" w14:textId="77777777" w:rsidR="00E9331F" w:rsidRDefault="00E9331F" w:rsidP="00E9331F">
      <w:pPr>
        <w:ind w:firstLine="0"/>
        <w:jc w:val="center"/>
        <w:rPr>
          <w:rFonts w:cs="Poppins"/>
          <w:b/>
          <w:sz w:val="36"/>
          <w:szCs w:val="24"/>
        </w:rPr>
      </w:pPr>
      <w:r>
        <w:rPr>
          <w:b/>
          <w:sz w:val="36"/>
          <w:szCs w:val="24"/>
        </w:rPr>
        <w:t xml:space="preserve">D3.1 </w:t>
      </w:r>
      <w:r>
        <w:rPr>
          <w:rFonts w:cs="Poppins"/>
          <w:b/>
          <w:sz w:val="36"/>
          <w:szCs w:val="24"/>
        </w:rPr>
        <w:t>Pakiet szkoleniowy dla trenerów</w:t>
      </w:r>
      <w:r>
        <w:rPr>
          <w:rFonts w:cs="Poppins"/>
          <w:b/>
          <w:sz w:val="36"/>
          <w:szCs w:val="24"/>
        </w:rPr>
        <w:br/>
        <w:t xml:space="preserve">Train the </w:t>
      </w:r>
      <w:proofErr w:type="spellStart"/>
      <w:r>
        <w:rPr>
          <w:rFonts w:cs="Poppins"/>
          <w:b/>
          <w:sz w:val="36"/>
          <w:szCs w:val="24"/>
        </w:rPr>
        <w:t>Trainer</w:t>
      </w:r>
      <w:proofErr w:type="spellEnd"/>
      <w:r>
        <w:rPr>
          <w:rFonts w:cs="Poppins"/>
          <w:b/>
          <w:sz w:val="36"/>
          <w:szCs w:val="24"/>
        </w:rPr>
        <w:t xml:space="preserve"> Toolkit</w:t>
      </w:r>
    </w:p>
    <w:p w14:paraId="4105B968" w14:textId="77777777" w:rsidR="00E9331F" w:rsidRDefault="00E9331F" w:rsidP="00E9331F">
      <w:pPr>
        <w:spacing w:before="0" w:after="0"/>
        <w:ind w:firstLine="0"/>
        <w:jc w:val="center"/>
        <w:rPr>
          <w:bCs/>
          <w:sz w:val="36"/>
          <w:szCs w:val="24"/>
        </w:rPr>
      </w:pPr>
      <w:r>
        <w:rPr>
          <w:bCs/>
          <w:sz w:val="32"/>
          <w:szCs w:val="32"/>
        </w:rPr>
        <w:t>Moduł 1: Podstawy cyfryzacji dla Organizacji Sieciujących</w:t>
      </w:r>
      <w:r>
        <w:rPr>
          <w:bCs/>
          <w:sz w:val="36"/>
          <w:szCs w:val="24"/>
        </w:rPr>
        <w:t xml:space="preserve"> </w:t>
      </w:r>
    </w:p>
    <w:p w14:paraId="13A6938A" w14:textId="14540BFF" w:rsidR="00E9331F" w:rsidRDefault="00E9331F" w:rsidP="00E9331F">
      <w:pPr>
        <w:spacing w:line="276" w:lineRule="auto"/>
        <w:ind w:firstLine="0"/>
        <w:jc w:val="center"/>
        <w:rPr>
          <w:rFonts w:cs="Poppins"/>
          <w:b/>
          <w:bCs/>
          <w:color w:val="3E762A"/>
        </w:rPr>
      </w:pPr>
      <w:r>
        <w:rPr>
          <w:bCs/>
          <w:sz w:val="28"/>
          <w:szCs w:val="28"/>
        </w:rPr>
        <w:t xml:space="preserve">- </w:t>
      </w:r>
      <w:r w:rsidRPr="00E20C08">
        <w:rPr>
          <w:bCs/>
          <w:sz w:val="28"/>
          <w:szCs w:val="28"/>
        </w:rPr>
        <w:t>Nowe trendy w technologiach cyfrowych</w:t>
      </w:r>
    </w:p>
    <w:p w14:paraId="5FF883CD" w14:textId="0DF1FC31" w:rsidR="00A13208" w:rsidRPr="00E9331F" w:rsidRDefault="0015171F" w:rsidP="00E9331F">
      <w:pPr>
        <w:spacing w:line="276" w:lineRule="auto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Lista kontrolna</w:t>
      </w:r>
    </w:p>
    <w:p w14:paraId="27DDB62C" w14:textId="77777777" w:rsidR="008E211B" w:rsidRPr="003F61AA" w:rsidRDefault="008E211B" w:rsidP="00951177">
      <w:pPr>
        <w:spacing w:line="276" w:lineRule="auto"/>
        <w:rPr>
          <w:rFonts w:cs="Poppins"/>
          <w:b/>
          <w:bCs/>
          <w:color w:val="3E762A"/>
        </w:rPr>
      </w:pPr>
      <w:bookmarkStart w:id="4" w:name="_Hlk186318967"/>
      <w:bookmarkEnd w:id="1"/>
      <w:bookmarkEnd w:id="2"/>
    </w:p>
    <w:p w14:paraId="2BADBDDA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bookmarkStart w:id="5" w:name="_Toc183511818"/>
      <w:bookmarkEnd w:id="4"/>
    </w:p>
    <w:p w14:paraId="11828295" w14:textId="77777777" w:rsidR="002D7BA3" w:rsidRPr="009860E8" w:rsidRDefault="002D7BA3" w:rsidP="002D7BA3">
      <w:pPr>
        <w:spacing w:line="276" w:lineRule="auto"/>
        <w:rPr>
          <w:rFonts w:cs="Poppins"/>
          <w:b/>
          <w:bCs/>
          <w:color w:val="3E762A"/>
        </w:rPr>
      </w:pPr>
      <w:r>
        <w:rPr>
          <w:b/>
          <w:bCs/>
          <w:color w:val="3E762A"/>
        </w:rPr>
        <w:lastRenderedPageBreak/>
        <w:t>Zastrzeżenie</w:t>
      </w:r>
    </w:p>
    <w:p w14:paraId="56D85935" w14:textId="77777777" w:rsidR="002D7BA3" w:rsidRPr="00450417" w:rsidRDefault="002D7BA3" w:rsidP="002D7BA3">
      <w:pPr>
        <w:spacing w:line="276" w:lineRule="auto"/>
        <w:rPr>
          <w:rFonts w:cs="Poppins"/>
          <w:i/>
          <w:iCs/>
          <w:color w:val="000000"/>
        </w:rPr>
      </w:pPr>
      <w:bookmarkStart w:id="6" w:name="_Hlk218685612"/>
      <w:r w:rsidRPr="00B50BDC">
        <w:rPr>
          <w:i/>
          <w:iCs/>
        </w:rPr>
        <w:t xml:space="preserve"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</w:t>
      </w:r>
      <w:proofErr w:type="gramStart"/>
      <w:r w:rsidRPr="00B50BDC">
        <w:rPr>
          <w:i/>
          <w:iCs/>
        </w:rPr>
        <w:t>nie odpowiedzialności</w:t>
      </w:r>
      <w:proofErr w:type="gramEnd"/>
      <w:r w:rsidRPr="00B50BDC">
        <w:rPr>
          <w:i/>
          <w:iCs/>
        </w:rPr>
        <w:t>.</w:t>
      </w:r>
      <w:bookmarkEnd w:id="6"/>
    </w:p>
    <w:p w14:paraId="6DB238B7" w14:textId="77777777" w:rsidR="002D7BA3" w:rsidRPr="003F61AA" w:rsidRDefault="002D7BA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bookmarkEnd w:id="5"/>
    <w:p w14:paraId="0466D407" w14:textId="77777777" w:rsidR="002D7BA3" w:rsidRDefault="002D7BA3">
      <w:pPr>
        <w:spacing w:before="0" w:after="0" w:line="240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  <w14:ligatures w14:val="standardContextual"/>
        </w:rPr>
      </w:pPr>
      <w:r>
        <w:br w:type="page"/>
      </w:r>
    </w:p>
    <w:p w14:paraId="0BC5C480" w14:textId="204EA6EF" w:rsidR="00146A1B" w:rsidRPr="00A13208" w:rsidRDefault="0015171F" w:rsidP="00736381">
      <w:pPr>
        <w:pStyle w:val="Nagwek1"/>
        <w:numPr>
          <w:ilvl w:val="0"/>
          <w:numId w:val="4"/>
        </w:numPr>
        <w:spacing w:line="276" w:lineRule="auto"/>
        <w:ind w:left="357" w:hanging="357"/>
        <w:rPr>
          <w:bCs/>
        </w:rPr>
      </w:pPr>
      <w:r>
        <w:lastRenderedPageBreak/>
        <w:t>Lista kontrolna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736381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736381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Pozycja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736381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Tak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736381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Nie</w:t>
            </w:r>
          </w:p>
        </w:tc>
      </w:tr>
      <w:tr w:rsidR="00C647EE" w:rsidRPr="00736381" w14:paraId="41D25338" w14:textId="77777777" w:rsidTr="00A13208">
        <w:tc>
          <w:tcPr>
            <w:tcW w:w="5382" w:type="dxa"/>
          </w:tcPr>
          <w:p w14:paraId="1E6605F6" w14:textId="5AF3FF9B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Strony internetowe i strony z kodami QR przechodzą kontrolę dostępności.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647EE" w:rsidRPr="00736381" w14:paraId="4AA98DB3" w14:textId="77777777" w:rsidTr="00A13208">
        <w:tc>
          <w:tcPr>
            <w:tcW w:w="5382" w:type="dxa"/>
          </w:tcPr>
          <w:p w14:paraId="3CCF669B" w14:textId="5DA1B4D3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Dane </w:t>
            </w:r>
            <w:proofErr w:type="spellStart"/>
            <w:r>
              <w:rPr>
                <w:sz w:val="20"/>
                <w:szCs w:val="20"/>
              </w:rPr>
              <w:t>chatbota</w:t>
            </w:r>
            <w:proofErr w:type="spellEnd"/>
            <w:r>
              <w:rPr>
                <w:sz w:val="20"/>
                <w:szCs w:val="20"/>
              </w:rPr>
              <w:t xml:space="preserve"> są przechowywane na serwerach UE i usuwane po sześciu miesiącach.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647EE" w:rsidRPr="00736381" w14:paraId="0C341CBE" w14:textId="77777777" w:rsidTr="00A13208">
        <w:tc>
          <w:tcPr>
            <w:tcW w:w="5382" w:type="dxa"/>
          </w:tcPr>
          <w:p w14:paraId="65ADE15E" w14:textId="1FA2E27D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Co najmniej jeden pracownik może aktualizować stronę bez kodowania (no-</w:t>
            </w:r>
            <w:proofErr w:type="spellStart"/>
            <w:r>
              <w:rPr>
                <w:sz w:val="20"/>
                <w:szCs w:val="20"/>
              </w:rPr>
              <w:t>code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site</w:t>
            </w:r>
            <w:proofErr w:type="spellEnd"/>
            <w:r>
              <w:rPr>
                <w:sz w:val="20"/>
                <w:szCs w:val="20"/>
              </w:rPr>
              <w:t>).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647EE" w:rsidRPr="00736381" w14:paraId="57151D24" w14:textId="77777777" w:rsidTr="00A13208">
        <w:tc>
          <w:tcPr>
            <w:tcW w:w="5382" w:type="dxa"/>
          </w:tcPr>
          <w:p w14:paraId="463F5CC5" w14:textId="46D79519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Goście wiedzą, jak wykorzystywane są dane głosowe.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74D98F" w14:textId="78741A19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7D6D0CE" w14:textId="09B8FC2C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647EE" w:rsidRPr="00736381" w14:paraId="3BD65E5A" w14:textId="77777777" w:rsidTr="00A13208">
        <w:tc>
          <w:tcPr>
            <w:tcW w:w="5382" w:type="dxa"/>
          </w:tcPr>
          <w:p w14:paraId="57F81237" w14:textId="577FC90E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Panele czujników przechowują wyłącznie dane sumaryczne, a nie dane osobowe.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C7DFEA9" w14:textId="3C8E2866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62DFB958" w14:textId="4E99BE1C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647EE" w:rsidRPr="00736381" w14:paraId="48EEB5AD" w14:textId="77777777" w:rsidTr="00A13208">
        <w:tc>
          <w:tcPr>
            <w:tcW w:w="5382" w:type="dxa"/>
          </w:tcPr>
          <w:p w14:paraId="6E0FC328" w14:textId="5C510A48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Każde nowe narzędzie zostało przetestowane pod kątem zgodności z czytnikiem ekranu.</w:t>
            </w:r>
          </w:p>
        </w:tc>
        <w:sdt>
          <w:sdtPr>
            <w:rPr>
              <w:rFonts w:cs="Poppins"/>
              <w:sz w:val="20"/>
              <w:szCs w:val="20"/>
            </w:rPr>
            <w:id w:val="-1392958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DBECD57" w14:textId="09700F2E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398855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BD86D87" w14:textId="354295E3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509D6562" w14:textId="05756836" w:rsidR="00DB48B2" w:rsidRPr="00FA6018" w:rsidRDefault="00DB48B2" w:rsidP="00A13208">
      <w:pPr>
        <w:spacing w:line="276" w:lineRule="auto"/>
        <w:ind w:firstLine="0"/>
      </w:pPr>
    </w:p>
    <w:p w14:paraId="59E6CAF3" w14:textId="61D10727" w:rsidR="00146A1B" w:rsidRDefault="00C647EE" w:rsidP="00736381">
      <w:pPr>
        <w:pStyle w:val="Nagwek1"/>
        <w:numPr>
          <w:ilvl w:val="0"/>
          <w:numId w:val="4"/>
        </w:numPr>
        <w:spacing w:line="276" w:lineRule="auto"/>
        <w:ind w:left="357" w:hanging="357"/>
      </w:pPr>
      <w:r>
        <w:t>Jak korzystać z t</w:t>
      </w:r>
      <w:r w:rsidR="0015171F">
        <w:t>ej listy?</w:t>
      </w:r>
    </w:p>
    <w:p w14:paraId="50A971A4" w14:textId="77777777" w:rsidR="00C647EE" w:rsidRDefault="00C647EE" w:rsidP="00C647EE">
      <w:pPr>
        <w:spacing w:line="276" w:lineRule="auto"/>
      </w:pPr>
      <w:r>
        <w:t xml:space="preserve">Lista ta koncentruje się na szczególnym zestawie narzędzi, z których korzysta obecnie wiele firm oferujących usługi turystyki wiejskiej: witryny internetowe generowane bez użycia kodu, strony docelowe z kodem QR, wycieczki głosowe, </w:t>
      </w:r>
      <w:proofErr w:type="spellStart"/>
      <w:r>
        <w:t>chatboty</w:t>
      </w:r>
      <w:proofErr w:type="spellEnd"/>
      <w:r>
        <w:t xml:space="preserve"> i proste panele czujników </w:t>
      </w:r>
      <w:proofErr w:type="spellStart"/>
      <w:r>
        <w:t>IoT</w:t>
      </w:r>
      <w:proofErr w:type="spellEnd"/>
      <w:r>
        <w:t>.</w:t>
      </w:r>
    </w:p>
    <w:p w14:paraId="1C3BB351" w14:textId="775D0103" w:rsidR="002112AA" w:rsidRPr="00A13208" w:rsidRDefault="00C647EE" w:rsidP="00E9331F">
      <w:pPr>
        <w:spacing w:line="276" w:lineRule="auto"/>
      </w:pPr>
      <w:r>
        <w:t xml:space="preserve">Zaznacz </w:t>
      </w:r>
      <w:r>
        <w:rPr>
          <w:b/>
        </w:rPr>
        <w:t>Tak</w:t>
      </w:r>
      <w:r>
        <w:t xml:space="preserve"> tylko wtedy, gdy stwierdzenie jest na chwilę obecną w pełni prawdziwe dla każdego odnośnego narzędzia. Pojedyncze </w:t>
      </w:r>
      <w:r>
        <w:rPr>
          <w:b/>
        </w:rPr>
        <w:t>Nie</w:t>
      </w:r>
      <w:r>
        <w:t xml:space="preserve"> ujawnia lukę, którą należy naprawić podczas kolejnego sprintu (krótki cykl pracy).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="00A13208" w:rsidRPr="00736381" w14:paraId="74F662F1" w14:textId="77777777" w:rsidTr="00FB74BD">
        <w:tc>
          <w:tcPr>
            <w:tcW w:w="2263" w:type="dxa"/>
            <w:shd w:val="clear" w:color="auto" w:fill="3E762A"/>
            <w:vAlign w:val="center"/>
          </w:tcPr>
          <w:p w14:paraId="5CCCBE2E" w14:textId="2ED58F68" w:rsidR="00A13208" w:rsidRPr="00736381" w:rsidRDefault="00A13208" w:rsidP="00FB74B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Pozycja</w:t>
            </w:r>
          </w:p>
        </w:tc>
        <w:tc>
          <w:tcPr>
            <w:tcW w:w="3261" w:type="dxa"/>
            <w:shd w:val="clear" w:color="auto" w:fill="3E762A"/>
            <w:vAlign w:val="center"/>
          </w:tcPr>
          <w:p w14:paraId="3CE24622" w14:textId="6C2273E3" w:rsidR="00A13208" w:rsidRPr="00736381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Dlaczego to ma znaczenie?</w:t>
            </w:r>
          </w:p>
        </w:tc>
        <w:tc>
          <w:tcPr>
            <w:tcW w:w="3543" w:type="dxa"/>
            <w:shd w:val="clear" w:color="auto" w:fill="3E762A"/>
            <w:vAlign w:val="center"/>
          </w:tcPr>
          <w:p w14:paraId="2D1E0D71" w14:textId="554230F5" w:rsidR="00A13208" w:rsidRPr="00736381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Szybka wskazówka, jak zmienić</w:t>
            </w:r>
            <w:r>
              <w:rPr>
                <w:b/>
                <w:bCs/>
                <w:color w:val="FFFFFF" w:themeColor="background1"/>
                <w:sz w:val="20"/>
                <w:szCs w:val="20"/>
              </w:rPr>
              <w:br/>
              <w:t>odpowiedź z „Nie” na „Tak”</w:t>
            </w:r>
          </w:p>
        </w:tc>
      </w:tr>
      <w:tr w:rsidR="00C647EE" w:rsidRPr="00736381" w14:paraId="104004EE" w14:textId="77777777" w:rsidTr="00FB74BD">
        <w:tc>
          <w:tcPr>
            <w:tcW w:w="2263" w:type="dxa"/>
          </w:tcPr>
          <w:p w14:paraId="2B3EAEEA" w14:textId="0E2E1007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Strony internetowe i strony z kodami QR </w:t>
            </w:r>
            <w:r>
              <w:rPr>
                <w:sz w:val="20"/>
                <w:szCs w:val="20"/>
              </w:rPr>
              <w:lastRenderedPageBreak/>
              <w:t>przechodzą kontrolę dostępności.</w:t>
            </w:r>
          </w:p>
        </w:tc>
        <w:tc>
          <w:tcPr>
            <w:tcW w:w="3261" w:type="dxa"/>
          </w:tcPr>
          <w:p w14:paraId="2ED6753E" w14:textId="1829A3BA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Goście korzystający z czytników ekranu lub trybu wysokiego kontrastu </w:t>
            </w:r>
            <w:r>
              <w:rPr>
                <w:sz w:val="20"/>
                <w:szCs w:val="20"/>
              </w:rPr>
              <w:lastRenderedPageBreak/>
              <w:t>potrzebują równego dostępu; zgodność z WCAG 2.2 jest obowiązkowa na mocy Europejskiej Ustawy o Dostępności (2025).</w:t>
            </w:r>
          </w:p>
        </w:tc>
        <w:tc>
          <w:tcPr>
            <w:tcW w:w="3543" w:type="dxa"/>
          </w:tcPr>
          <w:p w14:paraId="17220C56" w14:textId="107ADF7B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Uruchom WAVE lub </w:t>
            </w:r>
            <w:proofErr w:type="spellStart"/>
            <w:r>
              <w:rPr>
                <w:sz w:val="20"/>
                <w:szCs w:val="20"/>
              </w:rPr>
              <w:t>axe</w:t>
            </w:r>
            <w:proofErr w:type="spellEnd"/>
            <w:r>
              <w:rPr>
                <w:sz w:val="20"/>
                <w:szCs w:val="20"/>
              </w:rPr>
              <w:t xml:space="preserve"> na stronie głównej </w:t>
            </w:r>
            <w:r>
              <w:rPr>
                <w:b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 każdej stronie docelowej z kodami QR. Popraw </w:t>
            </w:r>
            <w:r>
              <w:rPr>
                <w:sz w:val="20"/>
                <w:szCs w:val="20"/>
              </w:rPr>
              <w:lastRenderedPageBreak/>
              <w:t>błędy zaznaczone na czerwono: brak tekstu alternatywnego, niski kontrast, puste linki.</w:t>
            </w:r>
          </w:p>
        </w:tc>
      </w:tr>
      <w:tr w:rsidR="00C647EE" w:rsidRPr="00736381" w14:paraId="019524DC" w14:textId="77777777" w:rsidTr="00FB74BD">
        <w:tc>
          <w:tcPr>
            <w:tcW w:w="2263" w:type="dxa"/>
          </w:tcPr>
          <w:p w14:paraId="4CCE0553" w14:textId="54DC1B0B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Dane </w:t>
            </w:r>
            <w:proofErr w:type="spellStart"/>
            <w:r>
              <w:rPr>
                <w:sz w:val="20"/>
                <w:szCs w:val="20"/>
              </w:rPr>
              <w:t>chatbota</w:t>
            </w:r>
            <w:proofErr w:type="spellEnd"/>
            <w:r>
              <w:rPr>
                <w:sz w:val="20"/>
                <w:szCs w:val="20"/>
              </w:rPr>
              <w:t xml:space="preserve"> są przechowywane na serwerach UE i usuwane po sześciu miesiącach.</w:t>
            </w:r>
          </w:p>
        </w:tc>
        <w:tc>
          <w:tcPr>
            <w:tcW w:w="3261" w:type="dxa"/>
          </w:tcPr>
          <w:p w14:paraId="16AF2436" w14:textId="1B065907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RODO: dane osobowe muszą pozostać w granicach EOG (lub podlegać równoważnym zabezpieczeniom) i nie mogą być przechowywane dłużej niż jest to konieczne.</w:t>
            </w:r>
          </w:p>
        </w:tc>
        <w:tc>
          <w:tcPr>
            <w:tcW w:w="3543" w:type="dxa"/>
          </w:tcPr>
          <w:p w14:paraId="580CE409" w14:textId="5D9227D3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panelu administracyjnym </w:t>
            </w:r>
            <w:proofErr w:type="spellStart"/>
            <w:r>
              <w:rPr>
                <w:sz w:val="20"/>
                <w:szCs w:val="20"/>
              </w:rPr>
              <w:t>chatbota</w:t>
            </w:r>
            <w:proofErr w:type="spellEnd"/>
            <w:r>
              <w:rPr>
                <w:sz w:val="20"/>
                <w:szCs w:val="20"/>
              </w:rPr>
              <w:t xml:space="preserve"> wybierz „Region UE” i ustaw automatyczne usuwanie rejestrów na 180 dni. Zrób zrzut ekranu do pliku z audytu.</w:t>
            </w:r>
          </w:p>
        </w:tc>
      </w:tr>
      <w:tr w:rsidR="00C647EE" w:rsidRPr="00736381" w14:paraId="4C62C3FC" w14:textId="77777777" w:rsidTr="00FB74BD">
        <w:tc>
          <w:tcPr>
            <w:tcW w:w="2263" w:type="dxa"/>
          </w:tcPr>
          <w:p w14:paraId="0309CF18" w14:textId="4B0EB207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Co najmniej jeden pracownik może aktualizować stronę bez kodowania (no-</w:t>
            </w:r>
            <w:proofErr w:type="spellStart"/>
            <w:r>
              <w:rPr>
                <w:sz w:val="20"/>
                <w:szCs w:val="20"/>
              </w:rPr>
              <w:t>code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site</w:t>
            </w:r>
            <w:proofErr w:type="spellEnd"/>
            <w:r>
              <w:rPr>
                <w:sz w:val="20"/>
                <w:szCs w:val="20"/>
              </w:rPr>
              <w:t>).</w:t>
            </w:r>
          </w:p>
        </w:tc>
        <w:tc>
          <w:tcPr>
            <w:tcW w:w="3261" w:type="dxa"/>
          </w:tcPr>
          <w:p w14:paraId="1FE4E21C" w14:textId="0DD0915C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Unikaj uzależnienia od jednego dostawcy i przestojów, jeśli zewnętrzny freelancer jest niedostępny.</w:t>
            </w:r>
          </w:p>
        </w:tc>
        <w:tc>
          <w:tcPr>
            <w:tcW w:w="3543" w:type="dxa"/>
          </w:tcPr>
          <w:p w14:paraId="5CDE0496" w14:textId="15652F98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Przeszkol recepcjonistę lub menedżera w zakresie podstawowych funkcji edycji (tekst, tekst alternatywny, ceny) i udokumentuj logowanie w menedżerze haseł.</w:t>
            </w:r>
          </w:p>
        </w:tc>
      </w:tr>
      <w:tr w:rsidR="00C647EE" w:rsidRPr="00736381" w14:paraId="6663E909" w14:textId="77777777" w:rsidTr="00FB74BD">
        <w:tc>
          <w:tcPr>
            <w:tcW w:w="2263" w:type="dxa"/>
          </w:tcPr>
          <w:p w14:paraId="3B812A69" w14:textId="65DFA465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Goście wiedzą, jak wykorzystywane są dane głosowe.</w:t>
            </w:r>
          </w:p>
        </w:tc>
        <w:tc>
          <w:tcPr>
            <w:tcW w:w="3261" w:type="dxa"/>
          </w:tcPr>
          <w:p w14:paraId="6544E4CB" w14:textId="4FB2B026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Przejrzystość buduje zaufanie i spełnia wymogi art. 13 RODO dotyczące obowiązku informacyjnego.</w:t>
            </w:r>
          </w:p>
        </w:tc>
        <w:tc>
          <w:tcPr>
            <w:tcW w:w="3543" w:type="dxa"/>
          </w:tcPr>
          <w:p w14:paraId="1F0A3A1B" w14:textId="151C8C81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Dodaj jednozdaniową informację obok ikony mikrofonu lub znacznika NFC: „Twoje polecenia głosowe są przetwarzane lokalnie i natychmiast usuwane”.</w:t>
            </w:r>
          </w:p>
        </w:tc>
      </w:tr>
      <w:tr w:rsidR="00C647EE" w:rsidRPr="00736381" w14:paraId="006C87D2" w14:textId="77777777" w:rsidTr="00FB74BD">
        <w:tc>
          <w:tcPr>
            <w:tcW w:w="2263" w:type="dxa"/>
          </w:tcPr>
          <w:p w14:paraId="4C89BC05" w14:textId="0346FD85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Panele czujników przechowują wyłącznie dane sumaryczne, a nie dane osobowe.</w:t>
            </w:r>
          </w:p>
        </w:tc>
        <w:tc>
          <w:tcPr>
            <w:tcW w:w="3261" w:type="dxa"/>
          </w:tcPr>
          <w:p w14:paraId="15C515C1" w14:textId="402F01F6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Czujniki temperatury lub obecności mogą przypadkowo ujawnić zachowanie gości, jeśli są przechowywane </w:t>
            </w:r>
            <w:r w:rsidR="002112AA">
              <w:rPr>
                <w:sz w:val="20"/>
                <w:szCs w:val="20"/>
              </w:rPr>
              <w:t>jako dane surowe.</w:t>
            </w:r>
          </w:p>
        </w:tc>
        <w:tc>
          <w:tcPr>
            <w:tcW w:w="3543" w:type="dxa"/>
          </w:tcPr>
          <w:p w14:paraId="5AFEEA3A" w14:textId="0B660B73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Skonfiguruj panel tak, aby rejestrował średnie godzinowe, usuwał identyfikatory urządzeń i przechowywał surowe dane tylko na urządzeniu.</w:t>
            </w:r>
          </w:p>
        </w:tc>
      </w:tr>
      <w:tr w:rsidR="00C647EE" w:rsidRPr="00736381" w14:paraId="262DBDE5" w14:textId="77777777" w:rsidTr="00FB74BD">
        <w:tc>
          <w:tcPr>
            <w:tcW w:w="2263" w:type="dxa"/>
          </w:tcPr>
          <w:p w14:paraId="2E778C05" w14:textId="64D2046E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Każde nowe narzędzie zostało przetestowane pod kątem zgodności z czytnikiem ekranu.</w:t>
            </w:r>
          </w:p>
        </w:tc>
        <w:tc>
          <w:tcPr>
            <w:tcW w:w="3261" w:type="dxa"/>
          </w:tcPr>
          <w:p w14:paraId="6DBE08A0" w14:textId="6800DF01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Automatyczne skanowanie pomija 30% rzeczywistych problemów; ręczne testy NVDA lub </w:t>
            </w:r>
            <w:proofErr w:type="spellStart"/>
            <w:r>
              <w:rPr>
                <w:sz w:val="20"/>
                <w:szCs w:val="20"/>
              </w:rPr>
              <w:t>VoiceOver</w:t>
            </w:r>
            <w:proofErr w:type="spellEnd"/>
            <w:r>
              <w:rPr>
                <w:sz w:val="20"/>
                <w:szCs w:val="20"/>
              </w:rPr>
              <w:t xml:space="preserve"> wykrywają je.</w:t>
            </w:r>
          </w:p>
        </w:tc>
        <w:tc>
          <w:tcPr>
            <w:tcW w:w="3543" w:type="dxa"/>
          </w:tcPr>
          <w:p w14:paraId="3B4376B4" w14:textId="04780A8D" w:rsidR="00C647EE" w:rsidRPr="00736381" w:rsidRDefault="00C647EE" w:rsidP="00C647E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Przed uruchomieniem, poświęć pięć minut na nawigację po narzędziu za pomocą klawiatury i czytnika ekranu; napraw wszelkie nieoznakowane przyciski lub problemy z fokusem.</w:t>
            </w:r>
          </w:p>
        </w:tc>
      </w:tr>
    </w:tbl>
    <w:p w14:paraId="1816B83E" w14:textId="77777777" w:rsidR="00C647EE" w:rsidRPr="00C647EE" w:rsidRDefault="00C647EE" w:rsidP="00C647EE">
      <w:pPr>
        <w:spacing w:line="276" w:lineRule="auto"/>
        <w:rPr>
          <w:b/>
          <w:bCs/>
        </w:rPr>
      </w:pPr>
      <w:r>
        <w:rPr>
          <w:b/>
          <w:bCs/>
        </w:rPr>
        <w:lastRenderedPageBreak/>
        <w:t>Sugerowana częstotliwość przeglądu</w:t>
      </w:r>
    </w:p>
    <w:p w14:paraId="6AF0E6D3" w14:textId="666B21C4" w:rsidR="005A579B" w:rsidRPr="005A579B" w:rsidRDefault="00C647EE" w:rsidP="00C647EE">
      <w:pPr>
        <w:spacing w:line="276" w:lineRule="auto"/>
      </w:pPr>
      <w:r>
        <w:t xml:space="preserve">Wypełniaj tą listę kontrolną kwartalnie, najlepiej tuż po sprincie retrospektywnym. Każde </w:t>
      </w:r>
      <w:r>
        <w:rPr>
          <w:b/>
        </w:rPr>
        <w:t>Nie</w:t>
      </w:r>
      <w:r>
        <w:t xml:space="preserve"> staje się elementem </w:t>
      </w:r>
      <w:proofErr w:type="spellStart"/>
      <w:r>
        <w:t>backlogu</w:t>
      </w:r>
      <w:proofErr w:type="spellEnd"/>
      <w:r>
        <w:t xml:space="preserve"> z datą docelową i właścicielem. Po dwóch kolejnych przeglądach z odpowiedzią Tak dla wszystkich stwierdzeń, przejdź do półrocznych kontroli i zainwestuj dodatkowy czas w bardziej szczegółowe testy penetracyjne lub analizę informacji uzyskanych od użytkowników.</w:t>
      </w:r>
    </w:p>
    <w:sectPr w:rsidR="005A579B" w:rsidRPr="005A579B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49D63" w14:textId="77777777" w:rsidR="001E73FF" w:rsidRDefault="001E73FF">
      <w:pPr>
        <w:spacing w:after="0" w:line="240" w:lineRule="auto"/>
      </w:pPr>
      <w:r>
        <w:separator/>
      </w:r>
    </w:p>
  </w:endnote>
  <w:endnote w:type="continuationSeparator" w:id="0">
    <w:p w14:paraId="71A8DB63" w14:textId="77777777" w:rsidR="001E73FF" w:rsidRDefault="001E7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449E123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sz w:val="18"/>
            <w:szCs w:val="18"/>
          </w:rPr>
          <w:t>6</w:t>
        </w:r>
        <w:r w:rsidRPr="001B39C3">
          <w:rPr>
            <w:rFonts w:cs="Poppins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Stopka"/>
      <w:jc w:val="center"/>
    </w:pPr>
    <w:r>
      <w:rPr>
        <w:noProof/>
        <w:color w:val="595959" w:themeColor="text1" w:themeTint="A6"/>
        <w:sz w:val="28"/>
        <w:szCs w:val="24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16572" w14:textId="77777777" w:rsidR="001E73FF" w:rsidRDefault="001E73FF">
      <w:pPr>
        <w:spacing w:after="0" w:line="240" w:lineRule="auto"/>
      </w:pPr>
      <w:r>
        <w:separator/>
      </w:r>
    </w:p>
  </w:footnote>
  <w:footnote w:type="continuationSeparator" w:id="0">
    <w:p w14:paraId="5D4E8B13" w14:textId="77777777" w:rsidR="001E73FF" w:rsidRDefault="001E7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Nagwek"/>
      <w:ind w:firstLine="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595959" w:themeColor="text1" w:themeTint="A6"/>
        <w:sz w:val="28"/>
        <w:szCs w:val="24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4546"/>
    <w:rsid w:val="00146A1B"/>
    <w:rsid w:val="0015171F"/>
    <w:rsid w:val="0015425C"/>
    <w:rsid w:val="0017441F"/>
    <w:rsid w:val="00183204"/>
    <w:rsid w:val="00196A37"/>
    <w:rsid w:val="001B39C3"/>
    <w:rsid w:val="001C3D94"/>
    <w:rsid w:val="001E73FF"/>
    <w:rsid w:val="002112AA"/>
    <w:rsid w:val="002D7BA3"/>
    <w:rsid w:val="00367797"/>
    <w:rsid w:val="003956C5"/>
    <w:rsid w:val="003F61AA"/>
    <w:rsid w:val="00401FA1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459D8"/>
    <w:rsid w:val="00674F12"/>
    <w:rsid w:val="006B2F38"/>
    <w:rsid w:val="006B36F8"/>
    <w:rsid w:val="006D5A89"/>
    <w:rsid w:val="006E59B7"/>
    <w:rsid w:val="006F1B2F"/>
    <w:rsid w:val="00703801"/>
    <w:rsid w:val="0071049D"/>
    <w:rsid w:val="00720B76"/>
    <w:rsid w:val="00736381"/>
    <w:rsid w:val="00746217"/>
    <w:rsid w:val="007B5CB2"/>
    <w:rsid w:val="007D5A25"/>
    <w:rsid w:val="007F257C"/>
    <w:rsid w:val="008037BA"/>
    <w:rsid w:val="00811EFB"/>
    <w:rsid w:val="00817CCC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A13208"/>
    <w:rsid w:val="00A63B66"/>
    <w:rsid w:val="00A76534"/>
    <w:rsid w:val="00A85BEB"/>
    <w:rsid w:val="00AC63E7"/>
    <w:rsid w:val="00B21354"/>
    <w:rsid w:val="00B30C01"/>
    <w:rsid w:val="00B37DC8"/>
    <w:rsid w:val="00B727A0"/>
    <w:rsid w:val="00B876CB"/>
    <w:rsid w:val="00BC2077"/>
    <w:rsid w:val="00BD02A9"/>
    <w:rsid w:val="00BE6AA2"/>
    <w:rsid w:val="00BE76A2"/>
    <w:rsid w:val="00C0371D"/>
    <w:rsid w:val="00C05AA3"/>
    <w:rsid w:val="00C576C1"/>
    <w:rsid w:val="00C647EE"/>
    <w:rsid w:val="00C91DE5"/>
    <w:rsid w:val="00CC3A53"/>
    <w:rsid w:val="00CC5207"/>
    <w:rsid w:val="00D27655"/>
    <w:rsid w:val="00D47453"/>
    <w:rsid w:val="00D56ADA"/>
    <w:rsid w:val="00D870BB"/>
    <w:rsid w:val="00DB48B2"/>
    <w:rsid w:val="00DD66E9"/>
    <w:rsid w:val="00E06380"/>
    <w:rsid w:val="00E20C51"/>
    <w:rsid w:val="00E26B10"/>
    <w:rsid w:val="00E745DE"/>
    <w:rsid w:val="00E9331F"/>
    <w:rsid w:val="00EB648A"/>
    <w:rsid w:val="00F00116"/>
    <w:rsid w:val="00F20904"/>
    <w:rsid w:val="00F35BB8"/>
    <w:rsid w:val="00F41F1D"/>
    <w:rsid w:val="00F6294A"/>
    <w:rsid w:val="00FA6018"/>
    <w:rsid w:val="00FB198A"/>
    <w:rsid w:val="00FB290D"/>
    <w:rsid w:val="00FB74BD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pl-PL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609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11</cp:revision>
  <dcterms:created xsi:type="dcterms:W3CDTF">2025-11-06T21:05:00Z</dcterms:created>
  <dcterms:modified xsi:type="dcterms:W3CDTF">2026-01-13T16:04:00Z</dcterms:modified>
</cp:coreProperties>
</file>